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EF1A5F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 xml:space="preserve">第四章 化学反应与电能 </w:t>
      </w:r>
    </w:p>
    <w:p w14:paraId="7E8D0CA4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第三节 金属的腐蚀与防护</w:t>
      </w:r>
    </w:p>
    <w:p w14:paraId="042AEFB6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预习填空</w:t>
      </w:r>
    </w:p>
    <w:p w14:paraId="7E3ABD9B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一、金属的腐蚀</w:t>
      </w:r>
    </w:p>
    <w:p w14:paraId="2E88CEC2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1．金属腐蚀的本质</w:t>
      </w:r>
    </w:p>
    <w:p w14:paraId="5170AE3C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金属原子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失去电子</w:t>
      </w:r>
      <w:r>
        <w:rPr>
          <w:rFonts w:ascii="Times New Roman" w:hAnsi="Times New Roman" w:eastAsia="宋体" w:cs="Times New Roman"/>
          <w:szCs w:val="21"/>
        </w:rPr>
        <w:t>变为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金属阳离子</w:t>
      </w:r>
      <w:r>
        <w:rPr>
          <w:rFonts w:ascii="Times New Roman" w:hAnsi="Times New Roman" w:eastAsia="宋体" w:cs="Times New Roman"/>
          <w:szCs w:val="21"/>
        </w:rPr>
        <w:t>，金属发生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氧化反应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6AD911C1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2．金属腐蚀的类型</w:t>
      </w:r>
    </w:p>
    <w:p w14:paraId="248B10C7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(1)化学腐蚀与电化学腐蚀</w:t>
      </w:r>
    </w:p>
    <w:tbl>
      <w:tblPr>
        <w:tblStyle w:val="15"/>
        <w:tblW w:w="743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2"/>
        <w:gridCol w:w="2916"/>
        <w:gridCol w:w="3544"/>
      </w:tblGrid>
      <w:tr w14:paraId="675FF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2" w:type="dxa"/>
            <w:shd w:val="clear" w:color="auto" w:fill="auto"/>
            <w:vAlign w:val="center"/>
          </w:tcPr>
          <w:p w14:paraId="060F58EB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类型</w:t>
            </w:r>
          </w:p>
        </w:tc>
        <w:tc>
          <w:tcPr>
            <w:tcW w:w="2916" w:type="dxa"/>
            <w:shd w:val="clear" w:color="auto" w:fill="auto"/>
            <w:vAlign w:val="center"/>
          </w:tcPr>
          <w:p w14:paraId="15D2F2CF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化学腐蚀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58B9B4F5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电化学腐蚀</w:t>
            </w:r>
          </w:p>
        </w:tc>
      </w:tr>
      <w:tr w14:paraId="54BC6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2" w:type="dxa"/>
            <w:shd w:val="clear" w:color="auto" w:fill="auto"/>
            <w:vAlign w:val="center"/>
          </w:tcPr>
          <w:p w14:paraId="67DEED07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条件</w:t>
            </w:r>
          </w:p>
        </w:tc>
        <w:tc>
          <w:tcPr>
            <w:tcW w:w="2916" w:type="dxa"/>
            <w:shd w:val="clear" w:color="auto" w:fill="auto"/>
            <w:vAlign w:val="center"/>
          </w:tcPr>
          <w:p w14:paraId="6E380274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金属跟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非金属单质直接</w:t>
            </w:r>
            <w:r>
              <w:rPr>
                <w:rFonts w:ascii="Times New Roman" w:hAnsi="Times New Roman" w:eastAsia="宋体" w:cs="Times New Roman"/>
                <w:szCs w:val="21"/>
              </w:rPr>
              <w:t>接触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75C2FEF8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不纯金属或合金跟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电解质溶液</w:t>
            </w:r>
            <w:r>
              <w:rPr>
                <w:rFonts w:ascii="Times New Roman" w:hAnsi="Times New Roman" w:eastAsia="宋体" w:cs="Times New Roman"/>
                <w:szCs w:val="21"/>
              </w:rPr>
              <w:t>接触</w:t>
            </w:r>
          </w:p>
        </w:tc>
      </w:tr>
      <w:tr w14:paraId="74F48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2" w:type="dxa"/>
            <w:shd w:val="clear" w:color="auto" w:fill="auto"/>
            <w:vAlign w:val="center"/>
          </w:tcPr>
          <w:p w14:paraId="59CB80C6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现象</w:t>
            </w:r>
          </w:p>
        </w:tc>
        <w:tc>
          <w:tcPr>
            <w:tcW w:w="2916" w:type="dxa"/>
            <w:shd w:val="clear" w:color="auto" w:fill="auto"/>
            <w:vAlign w:val="center"/>
          </w:tcPr>
          <w:p w14:paraId="6F180398">
            <w:pPr>
              <w:tabs>
                <w:tab w:val="left" w:pos="3544"/>
              </w:tabs>
              <w:snapToGrid w:val="0"/>
              <w:spacing w:line="360" w:lineRule="auto"/>
              <w:ind w:firstLine="420" w:firstLineChars="200"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无</w:t>
            </w:r>
            <w:r>
              <w:rPr>
                <w:rFonts w:ascii="Times New Roman" w:hAnsi="Times New Roman" w:eastAsia="宋体" w:cs="Times New Roman"/>
                <w:szCs w:val="21"/>
              </w:rPr>
              <w:t>电流产生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074ECBFE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有微弱</w:t>
            </w:r>
            <w:r>
              <w:rPr>
                <w:rFonts w:ascii="Times New Roman" w:hAnsi="Times New Roman" w:eastAsia="宋体" w:cs="Times New Roman"/>
                <w:szCs w:val="21"/>
              </w:rPr>
              <w:t>电流产生</w:t>
            </w:r>
          </w:p>
        </w:tc>
      </w:tr>
      <w:tr w14:paraId="1A7BB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2" w:type="dxa"/>
            <w:shd w:val="clear" w:color="auto" w:fill="auto"/>
            <w:vAlign w:val="center"/>
          </w:tcPr>
          <w:p w14:paraId="63E40A70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本质</w:t>
            </w:r>
          </w:p>
        </w:tc>
        <w:tc>
          <w:tcPr>
            <w:tcW w:w="2916" w:type="dxa"/>
            <w:shd w:val="clear" w:color="auto" w:fill="auto"/>
            <w:vAlign w:val="center"/>
          </w:tcPr>
          <w:p w14:paraId="3E714BB8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  <w:u w:val="single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金属被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氧化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1B72B44D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  <w:u w:val="single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较活泼金属被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氧化</w:t>
            </w:r>
          </w:p>
        </w:tc>
      </w:tr>
      <w:tr w14:paraId="5BA6A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2" w:type="dxa"/>
            <w:shd w:val="clear" w:color="auto" w:fill="auto"/>
            <w:vAlign w:val="center"/>
          </w:tcPr>
          <w:p w14:paraId="17D01DB5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联系</w:t>
            </w:r>
          </w:p>
        </w:tc>
        <w:tc>
          <w:tcPr>
            <w:tcW w:w="6460" w:type="dxa"/>
            <w:gridSpan w:val="2"/>
            <w:shd w:val="clear" w:color="auto" w:fill="auto"/>
            <w:vAlign w:val="center"/>
          </w:tcPr>
          <w:p w14:paraId="26105557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两者往往同时发生，</w:t>
            </w: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电化学</w:t>
            </w:r>
            <w:r>
              <w:rPr>
                <w:rFonts w:ascii="Times New Roman" w:hAnsi="Times New Roman" w:eastAsia="宋体" w:cs="Times New Roman"/>
                <w:szCs w:val="21"/>
              </w:rPr>
              <w:t>腐蚀更普遍</w:t>
            </w:r>
          </w:p>
        </w:tc>
      </w:tr>
    </w:tbl>
    <w:p w14:paraId="227B7842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(2)析氢腐蚀与吸氧腐蚀</w:t>
      </w:r>
    </w:p>
    <w:p w14:paraId="75C14E18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以钢铁的腐蚀为例进行分析：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3"/>
        <w:gridCol w:w="709"/>
        <w:gridCol w:w="2551"/>
        <w:gridCol w:w="3077"/>
      </w:tblGrid>
      <w:tr w14:paraId="0AE238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2" w:type="dxa"/>
            <w:gridSpan w:val="2"/>
            <w:vAlign w:val="center"/>
          </w:tcPr>
          <w:p w14:paraId="13DDF1EC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类型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496A04F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析氢腐蚀</w:t>
            </w:r>
          </w:p>
        </w:tc>
        <w:tc>
          <w:tcPr>
            <w:tcW w:w="3077" w:type="dxa"/>
            <w:shd w:val="clear" w:color="auto" w:fill="auto"/>
            <w:vAlign w:val="center"/>
          </w:tcPr>
          <w:p w14:paraId="6190CBAB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吸氧腐蚀</w:t>
            </w:r>
          </w:p>
        </w:tc>
      </w:tr>
      <w:tr w14:paraId="6F675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2" w:type="dxa"/>
            <w:gridSpan w:val="2"/>
            <w:vAlign w:val="center"/>
          </w:tcPr>
          <w:p w14:paraId="23934856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条件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44AC11D">
            <w:pPr>
              <w:tabs>
                <w:tab w:val="left" w:pos="3544"/>
              </w:tabs>
              <w:snapToGrid w:val="0"/>
              <w:spacing w:line="360" w:lineRule="auto"/>
              <w:jc w:val="left"/>
              <w:rPr>
                <w:rFonts w:ascii="Times New Roman" w:hAnsi="Times New Roman" w:eastAsia="宋体" w:cs="Times New Roman"/>
                <w:szCs w:val="21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水膜酸性较强(pH≤4.3)</w:t>
            </w:r>
          </w:p>
        </w:tc>
        <w:tc>
          <w:tcPr>
            <w:tcW w:w="3077" w:type="dxa"/>
            <w:shd w:val="clear" w:color="auto" w:fill="auto"/>
            <w:vAlign w:val="center"/>
          </w:tcPr>
          <w:p w14:paraId="22DF6661">
            <w:pPr>
              <w:tabs>
                <w:tab w:val="left" w:pos="3544"/>
              </w:tabs>
              <w:snapToGrid w:val="0"/>
              <w:spacing w:line="360" w:lineRule="auto"/>
              <w:jc w:val="left"/>
              <w:rPr>
                <w:rFonts w:ascii="Times New Roman" w:hAnsi="Times New Roman" w:eastAsia="宋体" w:cs="Times New Roman"/>
                <w:szCs w:val="21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水膜酸性很弱或呈中性</w:t>
            </w:r>
          </w:p>
        </w:tc>
      </w:tr>
      <w:tr w14:paraId="4A480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3" w:type="dxa"/>
            <w:vMerge w:val="restart"/>
            <w:vAlign w:val="center"/>
          </w:tcPr>
          <w:p w14:paraId="6BD4BBAE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电极反应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B30F6B9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负极</w:t>
            </w:r>
          </w:p>
        </w:tc>
        <w:tc>
          <w:tcPr>
            <w:tcW w:w="5628" w:type="dxa"/>
            <w:gridSpan w:val="2"/>
            <w:shd w:val="clear" w:color="auto" w:fill="auto"/>
            <w:vAlign w:val="center"/>
          </w:tcPr>
          <w:p w14:paraId="0076026F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Fe－2e</w:t>
            </w:r>
            <w:r>
              <w:rPr>
                <w:rFonts w:ascii="Times New Roman" w:hAnsi="Times New Roman" w:eastAsia="宋体" w:cs="Times New Roman"/>
                <w:szCs w:val="21"/>
                <w:vertAlign w:val="superscript"/>
              </w:rPr>
              <w:t>－</w:t>
            </w:r>
            <w:r>
              <w:rPr>
                <w:rFonts w:ascii="Times New Roman" w:hAnsi="Times New Roman" w:eastAsia="宋体" w:cs="Times New Roman"/>
                <w:spacing w:val="-16"/>
                <w:szCs w:val="21"/>
              </w:rPr>
              <w:t>==</w:t>
            </w:r>
            <w:r>
              <w:rPr>
                <w:rFonts w:ascii="Times New Roman" w:hAnsi="Times New Roman" w:eastAsia="宋体" w:cs="Times New Roman"/>
                <w:szCs w:val="21"/>
              </w:rPr>
              <w:t>=Fe</w:t>
            </w:r>
            <w:r>
              <w:rPr>
                <w:rFonts w:ascii="Times New Roman" w:hAnsi="Times New Roman" w:eastAsia="宋体" w:cs="Times New Roman"/>
                <w:szCs w:val="21"/>
                <w:vertAlign w:val="superscript"/>
              </w:rPr>
              <w:t>2＋</w:t>
            </w:r>
          </w:p>
        </w:tc>
      </w:tr>
      <w:tr w14:paraId="59D76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3" w:type="dxa"/>
            <w:vMerge w:val="continue"/>
            <w:vAlign w:val="center"/>
          </w:tcPr>
          <w:p w14:paraId="4928A1EE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6D90B57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正极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F94E751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2H</w:t>
            </w:r>
            <w:r>
              <w:rPr>
                <w:rFonts w:ascii="Times New Roman" w:hAnsi="Times New Roman" w:eastAsia="宋体" w:cs="Times New Roman"/>
                <w:szCs w:val="21"/>
                <w:vertAlign w:val="superscript"/>
              </w:rPr>
              <w:t>＋</w:t>
            </w:r>
            <w:r>
              <w:rPr>
                <w:rFonts w:ascii="Times New Roman" w:hAnsi="Times New Roman" w:eastAsia="宋体" w:cs="Times New Roman"/>
                <w:szCs w:val="21"/>
              </w:rPr>
              <w:t>＋2e</w:t>
            </w:r>
            <w:r>
              <w:rPr>
                <w:rFonts w:ascii="Times New Roman" w:hAnsi="Times New Roman" w:eastAsia="宋体" w:cs="Times New Roman"/>
                <w:szCs w:val="21"/>
                <w:vertAlign w:val="superscript"/>
              </w:rPr>
              <w:t>－</w:t>
            </w:r>
            <w:r>
              <w:rPr>
                <w:rFonts w:ascii="Times New Roman" w:hAnsi="Times New Roman" w:eastAsia="宋体" w:cs="Times New Roman"/>
                <w:spacing w:val="-16"/>
                <w:szCs w:val="21"/>
              </w:rPr>
              <w:t>==</w:t>
            </w:r>
            <w:r>
              <w:rPr>
                <w:rFonts w:ascii="Times New Roman" w:hAnsi="Times New Roman" w:eastAsia="宋体" w:cs="Times New Roman"/>
                <w:szCs w:val="21"/>
              </w:rPr>
              <w:t>=H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2</w:t>
            </w:r>
            <w:r>
              <w:rPr>
                <w:rFonts w:ascii="Times New Roman" w:hAnsi="Times New Roman" w:eastAsia="宋体" w:cs="Times New Roman"/>
                <w:szCs w:val="21"/>
              </w:rPr>
              <w:t>↑</w:t>
            </w:r>
          </w:p>
        </w:tc>
        <w:tc>
          <w:tcPr>
            <w:tcW w:w="3077" w:type="dxa"/>
            <w:shd w:val="clear" w:color="auto" w:fill="auto"/>
            <w:vAlign w:val="center"/>
          </w:tcPr>
          <w:p w14:paraId="4E7AD8AE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O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2</w:t>
            </w:r>
            <w:r>
              <w:rPr>
                <w:rFonts w:ascii="Times New Roman" w:hAnsi="Times New Roman" w:eastAsia="宋体" w:cs="Times New Roman"/>
                <w:szCs w:val="21"/>
              </w:rPr>
              <w:t>＋2H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2</w:t>
            </w:r>
            <w:r>
              <w:rPr>
                <w:rFonts w:ascii="Times New Roman" w:hAnsi="Times New Roman" w:eastAsia="宋体" w:cs="Times New Roman"/>
                <w:szCs w:val="21"/>
              </w:rPr>
              <w:t>O＋4e</w:t>
            </w:r>
            <w:r>
              <w:rPr>
                <w:rFonts w:ascii="Times New Roman" w:hAnsi="Times New Roman" w:eastAsia="宋体" w:cs="Times New Roman"/>
                <w:szCs w:val="21"/>
                <w:vertAlign w:val="superscript"/>
              </w:rPr>
              <w:t>－</w:t>
            </w:r>
            <w:r>
              <w:rPr>
                <w:rFonts w:ascii="Times New Roman" w:hAnsi="Times New Roman" w:eastAsia="宋体" w:cs="Times New Roman"/>
                <w:spacing w:val="-16"/>
                <w:szCs w:val="21"/>
              </w:rPr>
              <w:t>==</w:t>
            </w:r>
            <w:r>
              <w:rPr>
                <w:rFonts w:ascii="Times New Roman" w:hAnsi="Times New Roman" w:eastAsia="宋体" w:cs="Times New Roman"/>
                <w:szCs w:val="21"/>
              </w:rPr>
              <w:t>=4OH</w:t>
            </w:r>
            <w:r>
              <w:rPr>
                <w:rFonts w:ascii="Times New Roman" w:hAnsi="Times New Roman" w:eastAsia="宋体" w:cs="Times New Roman"/>
                <w:szCs w:val="21"/>
                <w:vertAlign w:val="superscript"/>
              </w:rPr>
              <w:t>－</w:t>
            </w:r>
          </w:p>
        </w:tc>
      </w:tr>
      <w:tr w14:paraId="16D88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2" w:type="dxa"/>
            <w:gridSpan w:val="2"/>
            <w:vAlign w:val="center"/>
          </w:tcPr>
          <w:p w14:paraId="37551502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总反应式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613BAC0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Fe＋2H</w:t>
            </w:r>
            <w:r>
              <w:rPr>
                <w:rFonts w:ascii="Times New Roman" w:hAnsi="Times New Roman" w:eastAsia="宋体" w:cs="Times New Roman"/>
                <w:szCs w:val="21"/>
                <w:vertAlign w:val="superscript"/>
              </w:rPr>
              <w:t>＋</w:t>
            </w:r>
            <w:r>
              <w:rPr>
                <w:rFonts w:ascii="Times New Roman" w:hAnsi="Times New Roman" w:eastAsia="宋体" w:cs="Times New Roman"/>
                <w:spacing w:val="-16"/>
                <w:szCs w:val="21"/>
              </w:rPr>
              <w:t>==</w:t>
            </w:r>
            <w:r>
              <w:rPr>
                <w:rFonts w:ascii="Times New Roman" w:hAnsi="Times New Roman" w:eastAsia="宋体" w:cs="Times New Roman"/>
                <w:szCs w:val="21"/>
              </w:rPr>
              <w:t>=Fe</w:t>
            </w:r>
            <w:r>
              <w:rPr>
                <w:rFonts w:ascii="Times New Roman" w:hAnsi="Times New Roman" w:eastAsia="宋体" w:cs="Times New Roman"/>
                <w:szCs w:val="21"/>
                <w:vertAlign w:val="superscript"/>
              </w:rPr>
              <w:t>2＋</w:t>
            </w:r>
            <w:r>
              <w:rPr>
                <w:rFonts w:ascii="Times New Roman" w:hAnsi="Times New Roman" w:eastAsia="宋体" w:cs="Times New Roman"/>
                <w:szCs w:val="21"/>
              </w:rPr>
              <w:t>＋H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2</w:t>
            </w:r>
            <w:r>
              <w:rPr>
                <w:rFonts w:ascii="Times New Roman" w:hAnsi="Times New Roman" w:eastAsia="宋体" w:cs="Times New Roman"/>
                <w:szCs w:val="21"/>
              </w:rPr>
              <w:t>↑</w:t>
            </w:r>
          </w:p>
        </w:tc>
        <w:tc>
          <w:tcPr>
            <w:tcW w:w="3077" w:type="dxa"/>
            <w:shd w:val="clear" w:color="auto" w:fill="auto"/>
            <w:vAlign w:val="center"/>
          </w:tcPr>
          <w:p w14:paraId="4DF04D76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2Fe＋O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2</w:t>
            </w:r>
            <w:r>
              <w:rPr>
                <w:rFonts w:ascii="Times New Roman" w:hAnsi="Times New Roman" w:eastAsia="宋体" w:cs="Times New Roman"/>
                <w:szCs w:val="21"/>
              </w:rPr>
              <w:t>＋2H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2</w:t>
            </w:r>
            <w:r>
              <w:rPr>
                <w:rFonts w:ascii="Times New Roman" w:hAnsi="Times New Roman" w:eastAsia="宋体" w:cs="Times New Roman"/>
                <w:szCs w:val="21"/>
              </w:rPr>
              <w:t>O</w:t>
            </w:r>
            <w:r>
              <w:rPr>
                <w:rFonts w:ascii="Times New Roman" w:hAnsi="Times New Roman" w:eastAsia="宋体" w:cs="Times New Roman"/>
                <w:spacing w:val="-16"/>
                <w:szCs w:val="21"/>
              </w:rPr>
              <w:t>==</w:t>
            </w:r>
            <w:r>
              <w:rPr>
                <w:rFonts w:ascii="Times New Roman" w:hAnsi="Times New Roman" w:eastAsia="宋体" w:cs="Times New Roman"/>
                <w:szCs w:val="21"/>
              </w:rPr>
              <w:t>=2Fe(OH)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2</w:t>
            </w:r>
          </w:p>
        </w:tc>
      </w:tr>
      <w:tr w14:paraId="2D798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2" w:type="dxa"/>
            <w:gridSpan w:val="2"/>
            <w:vAlign w:val="center"/>
          </w:tcPr>
          <w:p w14:paraId="0D02D6C3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联系</w:t>
            </w:r>
          </w:p>
        </w:tc>
        <w:tc>
          <w:tcPr>
            <w:tcW w:w="5628" w:type="dxa"/>
            <w:gridSpan w:val="2"/>
            <w:shd w:val="clear" w:color="auto" w:fill="auto"/>
            <w:vAlign w:val="center"/>
          </w:tcPr>
          <w:p w14:paraId="40F5B6FB">
            <w:pPr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91ACE0"/>
                <w:szCs w:val="21"/>
                <w:u w:val="thick"/>
              </w:rPr>
              <w:t>吸氧腐蚀</w:t>
            </w:r>
            <w:r>
              <w:rPr>
                <w:rFonts w:ascii="Times New Roman" w:hAnsi="Times New Roman" w:eastAsia="宋体" w:cs="Times New Roman"/>
                <w:szCs w:val="21"/>
              </w:rPr>
              <w:t>更普遍</w:t>
            </w:r>
          </w:p>
        </w:tc>
      </w:tr>
    </w:tbl>
    <w:p w14:paraId="295FFAFF">
      <w:pPr>
        <w:spacing w:line="420" w:lineRule="exact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ascii="Times New Roman" w:hAnsi="Times New Roman" w:eastAsia="宋体" w:cs="Times New Roman"/>
          <w:b/>
          <w:bCs/>
          <w:szCs w:val="21"/>
        </w:rPr>
        <w:t>二、金属的防护</w:t>
      </w:r>
    </w:p>
    <w:p w14:paraId="622CC973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(1)电化学防护</w:t>
      </w:r>
    </w:p>
    <w:p w14:paraId="6B391F2F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Cambria Math" w:hAnsi="Cambria Math" w:eastAsia="宋体" w:cs="Cambria Math"/>
          <w:szCs w:val="21"/>
        </w:rPr>
        <w:t>①</w:t>
      </w:r>
      <w:r>
        <w:rPr>
          <w:rFonts w:ascii="Times New Roman" w:hAnsi="Times New Roman" w:eastAsia="宋体" w:cs="Times New Roman"/>
          <w:szCs w:val="21"/>
        </w:rPr>
        <w:t>牺牲阳极的阴极保护法——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原电池</w:t>
      </w:r>
      <w:r>
        <w:rPr>
          <w:rFonts w:ascii="Times New Roman" w:hAnsi="Times New Roman" w:eastAsia="宋体" w:cs="Times New Roman"/>
          <w:szCs w:val="21"/>
        </w:rPr>
        <w:t>原理</w:t>
      </w:r>
    </w:p>
    <w:p w14:paraId="096E492F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a．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负</w:t>
      </w:r>
      <w:r>
        <w:rPr>
          <w:rFonts w:ascii="Times New Roman" w:hAnsi="Times New Roman" w:eastAsia="宋体" w:cs="Times New Roman"/>
          <w:szCs w:val="21"/>
        </w:rPr>
        <w:t>极：比被保护金属活泼的金属；b．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正</w:t>
      </w:r>
      <w:r>
        <w:rPr>
          <w:rFonts w:ascii="Times New Roman" w:hAnsi="Times New Roman" w:eastAsia="宋体" w:cs="Times New Roman"/>
          <w:szCs w:val="21"/>
        </w:rPr>
        <w:t>极：被保护的金属设备。</w:t>
      </w:r>
    </w:p>
    <w:p w14:paraId="66FA5455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Cambria Math" w:hAnsi="Cambria Math" w:eastAsia="宋体" w:cs="Cambria Math"/>
          <w:szCs w:val="21"/>
        </w:rPr>
        <w:t>②</w:t>
      </w:r>
      <w:r>
        <w:rPr>
          <w:rFonts w:ascii="Times New Roman" w:hAnsi="Times New Roman" w:eastAsia="宋体" w:cs="Times New Roman"/>
          <w:szCs w:val="21"/>
        </w:rPr>
        <w:t>外加电流的阴极保护法——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电解</w:t>
      </w:r>
      <w:r>
        <w:rPr>
          <w:rFonts w:ascii="Times New Roman" w:hAnsi="Times New Roman" w:eastAsia="宋体" w:cs="Times New Roman"/>
          <w:szCs w:val="21"/>
        </w:rPr>
        <w:t>原理</w:t>
      </w:r>
    </w:p>
    <w:p w14:paraId="2C822CED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a．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阴</w:t>
      </w:r>
      <w:r>
        <w:rPr>
          <w:rFonts w:ascii="Times New Roman" w:hAnsi="Times New Roman" w:eastAsia="宋体" w:cs="Times New Roman"/>
          <w:szCs w:val="21"/>
        </w:rPr>
        <w:t>极：被保护的金属设备；b．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阳</w:t>
      </w:r>
      <w:r>
        <w:rPr>
          <w:rFonts w:ascii="Times New Roman" w:hAnsi="Times New Roman" w:eastAsia="宋体" w:cs="Times New Roman"/>
          <w:szCs w:val="21"/>
        </w:rPr>
        <w:t>极：惰性金属或石墨。</w:t>
      </w:r>
    </w:p>
    <w:p w14:paraId="19025718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(2)改变金属的内部结构，如制成合金、不锈钢等。</w:t>
      </w:r>
    </w:p>
    <w:p w14:paraId="09D3E2C7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(3)加防护层，如在金属表面喷油漆、涂油脂、电镀、喷镀或表面钝化等方法。</w:t>
      </w:r>
    </w:p>
    <w:p w14:paraId="20AFA278">
      <w:pPr>
        <w:spacing w:line="420" w:lineRule="exact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ascii="Times New Roman" w:hAnsi="Times New Roman" w:eastAsia="宋体" w:cs="Times New Roman"/>
          <w:b/>
          <w:bCs/>
          <w:szCs w:val="21"/>
        </w:rPr>
        <w:t>正误辨析</w:t>
      </w:r>
    </w:p>
    <w:p w14:paraId="0CF89596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(1)纯银器表面变黑和钢铁表面生锈腐蚀原理一样     (  </w:t>
      </w:r>
      <w:r>
        <w:rPr>
          <w:rFonts w:ascii="Times New Roman" w:hAnsi="Times New Roman" w:eastAsia="宋体" w:cs="Times New Roman"/>
          <w:color w:val="91ACE0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 xml:space="preserve">  )</w:t>
      </w:r>
    </w:p>
    <w:p w14:paraId="378F539D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(2)Al、Fe、Cu在潮湿的空气中腐蚀均生成氧化物    (  </w:t>
      </w:r>
      <w:r>
        <w:rPr>
          <w:rFonts w:ascii="Times New Roman" w:hAnsi="Times New Roman" w:eastAsia="宋体" w:cs="Times New Roman"/>
          <w:color w:val="91ACE0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 xml:space="preserve">  )</w:t>
      </w:r>
    </w:p>
    <w:p w14:paraId="108789C0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(3)钢铁发生电化学腐蚀时，负极铁失去电子生成Fe</w:t>
      </w:r>
      <w:r>
        <w:rPr>
          <w:rFonts w:ascii="Times New Roman" w:hAnsi="Times New Roman" w:eastAsia="宋体" w:cs="Times New Roman"/>
          <w:szCs w:val="21"/>
          <w:vertAlign w:val="superscript"/>
        </w:rPr>
        <w:t xml:space="preserve">3＋  </w:t>
      </w:r>
      <w:r>
        <w:rPr>
          <w:rFonts w:ascii="Times New Roman" w:hAnsi="Times New Roman" w:eastAsia="宋体" w:cs="Times New Roman"/>
          <w:szCs w:val="21"/>
        </w:rPr>
        <w:t xml:space="preserve">(  </w:t>
      </w:r>
      <w:r>
        <w:rPr>
          <w:rFonts w:ascii="Times New Roman" w:hAnsi="Times New Roman" w:eastAsia="宋体" w:cs="Times New Roman"/>
          <w:color w:val="91ACE0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 xml:space="preserve">   )</w:t>
      </w:r>
    </w:p>
    <w:p w14:paraId="3ABC4AD0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(4)在金属表面覆盖保护层，若保护层破损后，就完全失去了对金属的保护作用    (  </w:t>
      </w:r>
      <w:r>
        <w:rPr>
          <w:rFonts w:ascii="Times New Roman" w:hAnsi="Times New Roman" w:eastAsia="宋体" w:cs="Times New Roman"/>
          <w:color w:val="91ACE0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 xml:space="preserve">   )</w:t>
      </w:r>
    </w:p>
    <w:p w14:paraId="648EF303">
      <w:pPr>
        <w:tabs>
          <w:tab w:val="left" w:pos="3544"/>
        </w:tabs>
        <w:snapToGrid w:val="0"/>
        <w:spacing w:line="360" w:lineRule="auto"/>
        <w:rPr>
          <w:rFonts w:ascii="宋体" w:hAnsi="Courier New" w:eastAsia="宋体" w:cs="Courier New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(5)铁表面镀锌可增强其抗腐蚀性              (  </w:t>
      </w:r>
      <w:r>
        <w:rPr>
          <w:rFonts w:ascii="Times New Roman" w:hAnsi="Times New Roman" w:eastAsia="宋体" w:cs="Times New Roman"/>
          <w:color w:val="91ACE0"/>
          <w:szCs w:val="21"/>
        </w:rPr>
        <w:t>√</w:t>
      </w:r>
      <w:r>
        <w:rPr>
          <w:rFonts w:ascii="Times New Roman" w:hAnsi="Times New Roman" w:eastAsia="宋体" w:cs="Times New Roman"/>
          <w:szCs w:val="21"/>
        </w:rPr>
        <w:t xml:space="preserve">  )</w:t>
      </w:r>
    </w:p>
    <w:p w14:paraId="74EC127A">
      <w:pPr>
        <w:rPr>
          <w:rFonts w:hint="eastAsia"/>
        </w:rPr>
      </w:pP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-796290</wp:posOffset>
            </wp:positionH>
            <wp:positionV relativeFrom="paragraph">
              <wp:posOffset>-1174115</wp:posOffset>
            </wp:positionV>
            <wp:extent cx="7595870" cy="10684510"/>
            <wp:effectExtent l="0" t="0" r="11430" b="8890"/>
            <wp:wrapNone/>
            <wp:docPr id="1" name="图片 1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内页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>
      <w:headerReference r:id="rId3" w:type="default"/>
      <w:footerReference r:id="rId4" w:type="default"/>
      <w:pgSz w:w="11906" w:h="16838"/>
      <w:pgMar w:top="1440" w:right="1236" w:bottom="1440" w:left="123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6CB794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B70F1D">
    <w:pPr>
      <w:pStyle w:val="12"/>
      <w:pBdr>
        <w:bottom w:val="single" w:color="auto" w:sz="4" w:space="1"/>
      </w:pBdr>
      <w:jc w:val="right"/>
      <w:rPr>
        <w:rFonts w:hint="eastAsia"/>
      </w:rPr>
    </w:pPr>
    <w:bookmarkStart w:id="0" w:name="_Hlk195276699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  <w:r>
      <w:rPr>
        <w:rFonts w:hint="eastAsia"/>
      </w:rPr>
      <w:t>配套《高中必刷题 化学 选择性必修1 化学反应原理 RJ》使用</w:t>
    </w:r>
  </w:p>
  <w:bookmarkEnd w:id="0"/>
  <w:p w14:paraId="2DF0AF87">
    <w:pPr>
      <w:pStyle w:val="12"/>
      <w:rPr>
        <w:rFonts w:hint="eastAsia"/>
      </w:rPr>
    </w:pPr>
    <w:bookmarkStart w:id="1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-821055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1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8D1BDB"/>
    <w:rsid w:val="00085264"/>
    <w:rsid w:val="00155F19"/>
    <w:rsid w:val="001707AF"/>
    <w:rsid w:val="00347950"/>
    <w:rsid w:val="00411579"/>
    <w:rsid w:val="007E24E9"/>
    <w:rsid w:val="008D1BDB"/>
    <w:rsid w:val="00947136"/>
    <w:rsid w:val="009C71CF"/>
    <w:rsid w:val="00A65F3E"/>
    <w:rsid w:val="00FA1470"/>
    <w:rsid w:val="09035242"/>
    <w:rsid w:val="57DE7AFB"/>
    <w:rsid w:val="7CF17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3F3F3F" w:themeColor="text1" w:themeTint="BF"/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明显强调1"/>
    <w:basedOn w:val="16"/>
    <w:qFormat/>
    <w:uiPriority w:val="21"/>
    <w:rPr>
      <w:i/>
      <w:iCs/>
      <w:color w:val="0F4761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0F4761" w:themeColor="accent1" w:themeShade="BF"/>
    </w:rPr>
  </w:style>
  <w:style w:type="character" w:customStyle="1" w:styleId="34">
    <w:name w:val="明显参考1"/>
    <w:basedOn w:val="16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571</Words>
  <Characters>656</Characters>
  <Lines>15</Lines>
  <Paragraphs>12</Paragraphs>
  <TotalTime>11</TotalTime>
  <ScaleCrop>false</ScaleCrop>
  <LinksUpToDate>false</LinksUpToDate>
  <CharactersWithSpaces>710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2025-04-02T02:21:00Z</dcterms:created>
  <dc:creator>8618080071290</dc:creator>
  <cp:lastModifiedBy>刘岩</cp:lastModifiedBy>
  <dcterms:modified xsi:type="dcterms:W3CDTF">2026-03-18T09:55:51Z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8E7549A765D04D47BB5D90E13AB77507_12</vt:lpwstr>
  </property>
</Properties>
</file>